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08F2" w14:textId="6EC33564" w:rsidR="00244EF3" w:rsidRPr="00244EF3" w:rsidRDefault="00244EF3" w:rsidP="00244EF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4EF3">
        <w:rPr>
          <w:rFonts w:ascii="Arial" w:hAnsi="Arial" w:cs="Arial"/>
          <w:b/>
          <w:bCs/>
          <w:sz w:val="24"/>
          <w:szCs w:val="24"/>
        </w:rPr>
        <w:t>ZAGADNIENIA I ETAPU</w:t>
      </w:r>
    </w:p>
    <w:p w14:paraId="2C980FB9" w14:textId="00871337" w:rsidR="00244EF3" w:rsidRPr="00244EF3" w:rsidRDefault="00244EF3" w:rsidP="00244EF3">
      <w:pPr>
        <w:spacing w:line="360" w:lineRule="auto"/>
        <w:jc w:val="center"/>
        <w:rPr>
          <w:rFonts w:ascii="Arial" w:hAnsi="Arial" w:cs="Arial"/>
          <w:b/>
          <w:bCs/>
        </w:rPr>
      </w:pPr>
      <w:r w:rsidRPr="00244EF3">
        <w:rPr>
          <w:rFonts w:ascii="Arial" w:hAnsi="Arial" w:cs="Arial"/>
          <w:b/>
          <w:bCs/>
        </w:rPr>
        <w:t>XV</w:t>
      </w:r>
      <w:r w:rsidR="005910D8">
        <w:rPr>
          <w:rFonts w:ascii="Arial" w:hAnsi="Arial" w:cs="Arial"/>
          <w:b/>
          <w:bCs/>
        </w:rPr>
        <w:t>I</w:t>
      </w:r>
      <w:r w:rsidRPr="00244EF3">
        <w:rPr>
          <w:rFonts w:ascii="Arial" w:hAnsi="Arial" w:cs="Arial"/>
          <w:b/>
          <w:bCs/>
        </w:rPr>
        <w:t>II edycji Ogólnopolskiej Olimpiady Wiedzy o Unii Europejskiej „Gwiezdny Krąg”:</w:t>
      </w:r>
    </w:p>
    <w:p w14:paraId="04D6FAFE" w14:textId="24E9D807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 integracji europejskiej od Traktatu ustanawiającego Europejską Wspólnotę Węgla i Stali, do Traktatu z Lizbony. </w:t>
      </w:r>
    </w:p>
    <w:p w14:paraId="3A114428" w14:textId="276F074E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 integracji europejskiej – rozszerzenia o nowe państwa członkowskie.</w:t>
      </w:r>
    </w:p>
    <w:p w14:paraId="1CC330F1" w14:textId="565C2B39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Kompetencje wyłączne Unii Europejskiej. </w:t>
      </w:r>
    </w:p>
    <w:p w14:paraId="28F30A24" w14:textId="288FD02E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Kompetencje dzielone między państwa członkowskie a Unię Europejską. </w:t>
      </w:r>
    </w:p>
    <w:p w14:paraId="30323DD8" w14:textId="526467CB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Zasada pomocniczości. </w:t>
      </w:r>
    </w:p>
    <w:p w14:paraId="70EEB6CD" w14:textId="4DAEFB24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Zasada proporcjonalności. </w:t>
      </w:r>
    </w:p>
    <w:p w14:paraId="4CE5733D" w14:textId="11027D57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Zasada prymatu prawa europejskiego. </w:t>
      </w:r>
    </w:p>
    <w:p w14:paraId="278F3358" w14:textId="481F64C9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pierwotne Unii Europejskiej – charakterystyka i procedura stanowienia.</w:t>
      </w:r>
    </w:p>
    <w:p w14:paraId="0D4918C6" w14:textId="2FEA2E67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jako narzędzie unifikacji prawa w Unii Europejskiej. </w:t>
      </w:r>
    </w:p>
    <w:p w14:paraId="0BB32E3A" w14:textId="3CBBF7E8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Dyrektywa jako narzędzie harmonizacji prawa Unii Europejskiej. </w:t>
      </w:r>
    </w:p>
    <w:p w14:paraId="122242B8" w14:textId="776A5DF0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jako źródło prawa wtórnego Unii Europejskiej. </w:t>
      </w:r>
    </w:p>
    <w:p w14:paraId="46A2C81B" w14:textId="0D2E4ED1" w:rsidR="00244EF3" w:rsidRDefault="00244EF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Zalecenia i opinie </w:t>
      </w:r>
      <w:r w:rsidR="00485F14">
        <w:rPr>
          <w:rFonts w:ascii="Arial" w:hAnsi="Arial" w:cs="Arial"/>
        </w:rPr>
        <w:t xml:space="preserve">jako niewiążące akty prawa wtórnego Unii Europejskiej. </w:t>
      </w:r>
    </w:p>
    <w:p w14:paraId="44926B70" w14:textId="631CD3AE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Europejska – skład, kompetencje, kadencja, siedziba. </w:t>
      </w:r>
    </w:p>
    <w:p w14:paraId="63F1AD13" w14:textId="3E4BB1D3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Unii Europejskiej – skład, kompetencje, kadencja, siedziba, struktura wewnętrzna. </w:t>
      </w:r>
    </w:p>
    <w:p w14:paraId="78F1C3FD" w14:textId="1B922026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COREPER – skład, kompetencje, kadencja, siedziba.</w:t>
      </w:r>
    </w:p>
    <w:p w14:paraId="4FE8091A" w14:textId="6C92676C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Europejska – struktura wewnętrzna, skład, kompetencje, kadencja, siedziba, proces podejmowania decyzji. </w:t>
      </w:r>
    </w:p>
    <w:p w14:paraId="479678CB" w14:textId="4F5A32D5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Parlament Europejski – struktura wewnętrzna, skład, kompetencje, kadencja, siedziba.</w:t>
      </w:r>
    </w:p>
    <w:p w14:paraId="525CEDB8" w14:textId="498A641E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Trybunał Obrachunkowy – skład, kompetencje, kadencja, siedziba.</w:t>
      </w:r>
    </w:p>
    <w:p w14:paraId="5D2FB713" w14:textId="1129360E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Europejski Bank Centralny – skład, kompetencje, kadencja, siedziba.</w:t>
      </w:r>
    </w:p>
    <w:p w14:paraId="750B7B1E" w14:textId="1F90E803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Trybunał Sprawiedliwości Unii Europejskiej – właściwość trybunału, skład, kompetencje, kadencja, siedziba.</w:t>
      </w:r>
    </w:p>
    <w:p w14:paraId="1521899E" w14:textId="6ED60E4C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Europejski Bank Inwestycyjny – skład, kompetencje, kadencja, siedziba.</w:t>
      </w:r>
    </w:p>
    <w:p w14:paraId="24EF5A45" w14:textId="58BE2403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Komitet Regionów Unii Europejskiej – skład, kompetencje, kadencja, siedziba.</w:t>
      </w:r>
    </w:p>
    <w:p w14:paraId="1178722A" w14:textId="1000833D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Komitet Ekonomiczno – Społeczny – skład, kompetencje, kadencja, siedziba.</w:t>
      </w:r>
    </w:p>
    <w:p w14:paraId="7EB77D2B" w14:textId="7AAA3D21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Układ z Schengen – charakterystyka, data podpisania i wejścia w życie, państwa strony. </w:t>
      </w:r>
    </w:p>
    <w:p w14:paraId="6FF80C34" w14:textId="43C5E561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Swoboda przepływu osób. </w:t>
      </w:r>
    </w:p>
    <w:p w14:paraId="19FD938E" w14:textId="78E722F6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Swoboda przepływu towarów. </w:t>
      </w:r>
    </w:p>
    <w:p w14:paraId="56353505" w14:textId="51F64E5E" w:rsidR="00485F14" w:rsidRDefault="00485F14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Swoboda przepływu usług. </w:t>
      </w:r>
    </w:p>
    <w:p w14:paraId="71295AE4" w14:textId="471049AE" w:rsidR="00485F14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Swoboda przepływu kapitału. </w:t>
      </w:r>
    </w:p>
    <w:p w14:paraId="56E76829" w14:textId="119F2FA8" w:rsidR="000D230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Obywatelstwo Unii Europejskiej – data powstania, charakterystyka, prawa związane z obywatelstwem. </w:t>
      </w:r>
    </w:p>
    <w:p w14:paraId="22F3F2D6" w14:textId="23AD80A7" w:rsidR="000D230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Polityka młodzieżowa Unii Europejskiej – charakterystyka, najważniejsze dokumenty, cele. </w:t>
      </w:r>
    </w:p>
    <w:p w14:paraId="522D41B7" w14:textId="5ADC7DF6" w:rsidR="000D230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Priorytety polityczne Komisji Europejskiej pod przewodnictwem Ursuli von der Leyen.</w:t>
      </w:r>
    </w:p>
    <w:p w14:paraId="57D91AE3" w14:textId="719C87AE" w:rsidR="000D230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Procedura przystąpienia państwa do Unii Europejskiej. </w:t>
      </w:r>
    </w:p>
    <w:p w14:paraId="3321DED9" w14:textId="529EA50C" w:rsidR="000D230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Procedura wystąpienia państwa członkowskiego z Unii Europejskiej. </w:t>
      </w:r>
    </w:p>
    <w:p w14:paraId="2B2EB10D" w14:textId="266FB406" w:rsidR="000D230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Karta Praw Podstawowych – charakterystyka, zakres obowiązywania w Polsce. </w:t>
      </w:r>
    </w:p>
    <w:p w14:paraId="265A1423" w14:textId="6D4E7BFD" w:rsidR="000D230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D2303">
        <w:rPr>
          <w:rFonts w:ascii="Arial" w:hAnsi="Arial" w:cs="Arial"/>
        </w:rPr>
        <w:t>Działania na rzecz odbudowy europejskiej gospodarki po pandemii – fundusz odbudowy gospodarczej „NextGenerationEU”</w:t>
      </w:r>
      <w:r>
        <w:rPr>
          <w:rFonts w:ascii="Arial" w:hAnsi="Arial" w:cs="Arial"/>
        </w:rPr>
        <w:t xml:space="preserve">. </w:t>
      </w:r>
    </w:p>
    <w:p w14:paraId="76F7791D" w14:textId="53755AD7" w:rsidR="000D230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instytucji i organów Unii Europejskiej. </w:t>
      </w:r>
    </w:p>
    <w:p w14:paraId="582AD314" w14:textId="0A400C2C" w:rsidR="000D230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Cechy Unii Europejskiej jako organizacji międzynarodowej. </w:t>
      </w:r>
    </w:p>
    <w:p w14:paraId="561F9F5E" w14:textId="2CF9F988" w:rsidR="000D230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Procedura wyboru posłów do Parlamentu Europejskiego na przykładzie Polski. </w:t>
      </w:r>
    </w:p>
    <w:p w14:paraId="0CE693ED" w14:textId="1B537618" w:rsidR="000D230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Symbole Unii Europejskiej. </w:t>
      </w:r>
    </w:p>
    <w:p w14:paraId="6BE6385B" w14:textId="2DA38632" w:rsidR="000D2303" w:rsidRPr="00244EF3" w:rsidRDefault="000D2303" w:rsidP="00244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 humanitarna realizowana przez Unię Europejską. </w:t>
      </w:r>
    </w:p>
    <w:p w14:paraId="7F712729" w14:textId="7BBA13D7" w:rsidR="00244EF3" w:rsidRPr="00725178" w:rsidRDefault="00244EF3" w:rsidP="00244E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F84289" w14:textId="77777777" w:rsidR="00244EF3" w:rsidRDefault="00244EF3" w:rsidP="00244EF3"/>
    <w:p w14:paraId="589850A6" w14:textId="77777777" w:rsidR="00DE6548" w:rsidRDefault="00000000"/>
    <w:sectPr w:rsidR="00DE65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DD16" w14:textId="77777777" w:rsidR="00052AE0" w:rsidRDefault="00052AE0" w:rsidP="00244EF3">
      <w:pPr>
        <w:spacing w:after="0" w:line="240" w:lineRule="auto"/>
      </w:pPr>
      <w:r>
        <w:separator/>
      </w:r>
    </w:p>
  </w:endnote>
  <w:endnote w:type="continuationSeparator" w:id="0">
    <w:p w14:paraId="056C6221" w14:textId="77777777" w:rsidR="00052AE0" w:rsidRDefault="00052AE0" w:rsidP="0024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7353" w14:textId="77777777" w:rsidR="00933214" w:rsidRPr="00933214" w:rsidRDefault="005D7B87" w:rsidP="00F01441">
    <w:pPr>
      <w:pStyle w:val="Stopka"/>
      <w:ind w:left="-567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B28B2B3" wp14:editId="535C59B6">
          <wp:simplePos x="0" y="0"/>
          <wp:positionH relativeFrom="column">
            <wp:posOffset>547280</wp:posOffset>
          </wp:positionH>
          <wp:positionV relativeFrom="paragraph">
            <wp:posOffset>-314325</wp:posOffset>
          </wp:positionV>
          <wp:extent cx="906780" cy="906780"/>
          <wp:effectExtent l="0" t="0" r="7620" b="762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8EA8F69" wp14:editId="798C5F05">
          <wp:simplePos x="0" y="0"/>
          <wp:positionH relativeFrom="column">
            <wp:posOffset>1519555</wp:posOffset>
          </wp:positionH>
          <wp:positionV relativeFrom="paragraph">
            <wp:posOffset>-257629</wp:posOffset>
          </wp:positionV>
          <wp:extent cx="1005840" cy="686653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92645A5" wp14:editId="6C4A841C">
          <wp:simplePos x="0" y="0"/>
          <wp:positionH relativeFrom="column">
            <wp:posOffset>2615747</wp:posOffset>
          </wp:positionH>
          <wp:positionV relativeFrom="paragraph">
            <wp:posOffset>-112032</wp:posOffset>
          </wp:positionV>
          <wp:extent cx="672986" cy="417501"/>
          <wp:effectExtent l="0" t="0" r="0" b="1905"/>
          <wp:wrapNone/>
          <wp:docPr id="6" name="Obraz 6" descr="Może być zdjęciem przedstawiającym tekst „Słupski Instytut ds. Młodzieży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że być zdjęciem przedstawiającym tekst „Słupski Instytut ds. Młodzieży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86" cy="417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1BB16B8" wp14:editId="01633DBB">
          <wp:simplePos x="0" y="0"/>
          <wp:positionH relativeFrom="column">
            <wp:posOffset>4212227</wp:posOffset>
          </wp:positionH>
          <wp:positionV relativeFrom="paragraph">
            <wp:posOffset>-222885</wp:posOffset>
          </wp:positionV>
          <wp:extent cx="682172" cy="682172"/>
          <wp:effectExtent l="0" t="0" r="381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72" cy="682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743DAD8" wp14:editId="612F6BE0">
          <wp:simplePos x="0" y="0"/>
          <wp:positionH relativeFrom="column">
            <wp:posOffset>5090523</wp:posOffset>
          </wp:positionH>
          <wp:positionV relativeFrom="paragraph">
            <wp:posOffset>-255542</wp:posOffset>
          </wp:positionV>
          <wp:extent cx="674914" cy="660738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14" cy="66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214">
      <w:rPr>
        <w:rFonts w:ascii="Arial" w:hAnsi="Arial" w:cs="Arial"/>
        <w:b/>
        <w:bCs/>
        <w:sz w:val="18"/>
        <w:szCs w:val="18"/>
      </w:rPr>
      <w:t>Organizatorzy:</w:t>
    </w:r>
    <w:r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        Partnerzy: </w:t>
    </w:r>
    <w:r>
      <w:rPr>
        <w:rFonts w:ascii="Arial" w:hAnsi="Arial" w:cs="Arial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EB11" w14:textId="77777777" w:rsidR="00052AE0" w:rsidRDefault="00052AE0" w:rsidP="00244EF3">
      <w:pPr>
        <w:spacing w:after="0" w:line="240" w:lineRule="auto"/>
      </w:pPr>
      <w:r>
        <w:separator/>
      </w:r>
    </w:p>
  </w:footnote>
  <w:footnote w:type="continuationSeparator" w:id="0">
    <w:p w14:paraId="06FD33FF" w14:textId="77777777" w:rsidR="00052AE0" w:rsidRDefault="00052AE0" w:rsidP="0024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B567E"/>
    <w:multiLevelType w:val="hybridMultilevel"/>
    <w:tmpl w:val="CFE8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12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F3"/>
    <w:rsid w:val="00052AE0"/>
    <w:rsid w:val="000D2303"/>
    <w:rsid w:val="00244EF3"/>
    <w:rsid w:val="00485F14"/>
    <w:rsid w:val="005910D8"/>
    <w:rsid w:val="005D7B87"/>
    <w:rsid w:val="00A04CB9"/>
    <w:rsid w:val="00A1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F1EC"/>
  <w15:chartTrackingRefBased/>
  <w15:docId w15:val="{B25B957F-F5B9-4DCC-97A4-47CA5E4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EF3"/>
  </w:style>
  <w:style w:type="paragraph" w:styleId="Stopka">
    <w:name w:val="footer"/>
    <w:basedOn w:val="Normalny"/>
    <w:link w:val="StopkaZnak"/>
    <w:uiPriority w:val="99"/>
    <w:unhideWhenUsed/>
    <w:rsid w:val="0024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EF3"/>
  </w:style>
  <w:style w:type="character" w:styleId="Hipercze">
    <w:name w:val="Hyperlink"/>
    <w:basedOn w:val="Domylnaczcionkaakapitu"/>
    <w:uiPriority w:val="99"/>
    <w:unhideWhenUsed/>
    <w:rsid w:val="00244E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Kuligowski</dc:creator>
  <cp:keywords/>
  <dc:description/>
  <cp:lastModifiedBy>Rafał Kuligowski</cp:lastModifiedBy>
  <cp:revision>2</cp:revision>
  <dcterms:created xsi:type="dcterms:W3CDTF">2022-01-23T10:54:00Z</dcterms:created>
  <dcterms:modified xsi:type="dcterms:W3CDTF">2023-01-02T16:45:00Z</dcterms:modified>
</cp:coreProperties>
</file>